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 BLANCA" w:cs="AR BLANCA" w:eastAsia="AR BLANCA" w:hAnsi="AR BLANCA"/>
          <w:b w:val="1"/>
          <w:i w:val="1"/>
          <w:color w:val="ff0000"/>
          <w:sz w:val="44"/>
          <w:szCs w:val="44"/>
        </w:rPr>
      </w:pPr>
      <w:r w:rsidDel="00000000" w:rsidR="00000000" w:rsidRPr="00000000">
        <w:rPr>
          <w:rFonts w:ascii="AR BLANCA" w:cs="AR BLANCA" w:eastAsia="AR BLANCA" w:hAnsi="AR BLANCA"/>
          <w:b w:val="1"/>
          <w:i w:val="1"/>
          <w:color w:val="ff0000"/>
          <w:sz w:val="44"/>
          <w:szCs w:val="44"/>
          <w:rtl w:val="0"/>
        </w:rPr>
        <w:t xml:space="preserve">DNEPR SQUASH TOUR 2019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 BLANCA" w:cs="AR BLANCA" w:eastAsia="AR BLANCA" w:hAnsi="AR BLANCA"/>
          <w:b w:val="1"/>
          <w:i w:val="1"/>
          <w:color w:val="ff0000"/>
          <w:sz w:val="44"/>
          <w:szCs w:val="44"/>
        </w:rPr>
      </w:pPr>
      <w:r w:rsidDel="00000000" w:rsidR="00000000" w:rsidRPr="00000000">
        <w:rPr>
          <w:rFonts w:ascii="AR BLANCA" w:cs="AR BLANCA" w:eastAsia="AR BLANCA" w:hAnsi="AR BLANCA"/>
          <w:b w:val="1"/>
          <w:i w:val="1"/>
          <w:color w:val="ff0000"/>
          <w:sz w:val="44"/>
          <w:szCs w:val="44"/>
          <w:rtl w:val="0"/>
        </w:rPr>
        <w:t xml:space="preserve">FINAL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b w:val="1"/>
          <w:i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Положение турнира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Цели и задачи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before="0" w:line="240" w:lineRule="auto"/>
        <w:ind w:left="720" w:right="0" w:hanging="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Повышение культурных и спортивных связей между игроками.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Повышение уровня мастерства игроков.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Поиск новых партнеров по игре различного уровня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Популяризация сквоша.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Популяризация здорового образа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 Сроки проведения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firstLine="0"/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21 декабря 2019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mbria" w:cs="Cambria" w:eastAsia="Cambria" w:hAnsi="Cambria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mbria" w:cs="Cambria" w:eastAsia="Cambria" w:hAnsi="Cambria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 Место проведения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г. Днепр, ул. Симферопольская 21,  спорт клуб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4"/>
          <w:szCs w:val="24"/>
          <w:rtl w:val="0"/>
        </w:rPr>
        <w:t xml:space="preserve">PRIDE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3 сквош корта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255" w:hanging="3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Турнир категории «С», проводится по Правилам соревнований по сквошу, утвержденными Федерацией сквоша Украины, которые не противоречат международным правилам по сквошу.</w:t>
      </w:r>
    </w:p>
    <w:p w:rsidR="00000000" w:rsidDel="00000000" w:rsidP="00000000" w:rsidRDefault="00000000" w:rsidRPr="00000000" w14:paraId="0000001B">
      <w:pPr>
        <w:spacing w:after="0" w:lineRule="auto"/>
        <w:ind w:left="255" w:hanging="3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 Участники турнира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954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Premier Division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32"/>
          <w:szCs w:val="32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игроки категории М1-М2.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954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1 Division -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игроки категории М3 (начальный уровень игры)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Premier Division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могут принимать участие игроки категории М1-М2. Это игроки среднего или выше среднего уровня игры.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Посев игроков в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Premier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Division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будет осуществляться в соответствии с клубным рейтингом спорт клуба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PRIDE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При участии в турнире игроков с других сквош клубов Украины, посев будет осуществляться с учётом их национального рейтинга ФСУ Украины.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1 Division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могут принимать участие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только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игроки категории М3. Это игроки начального уровня игры.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По желанию игроки с </w:t>
      </w:r>
      <w:r w:rsidDel="00000000" w:rsidR="00000000" w:rsidRPr="00000000">
        <w:rPr>
          <w:rFonts w:ascii="Cambria" w:cs="Cambria" w:eastAsia="Cambria" w:hAnsi="Cambria"/>
          <w:b w:val="0"/>
          <w:i w:val="1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1 Division </w:t>
      </w:r>
      <w:r w:rsidDel="00000000" w:rsidR="00000000" w:rsidRPr="00000000">
        <w:rPr>
          <w:rFonts w:ascii="Cambria" w:cs="Cambria" w:eastAsia="Cambria" w:hAnsi="Cambria"/>
          <w:b w:val="0"/>
          <w:i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могут принимать участие в </w:t>
      </w:r>
      <w:r w:rsidDel="00000000" w:rsidR="00000000" w:rsidRPr="00000000">
        <w:rPr>
          <w:rFonts w:ascii="Cambria" w:cs="Cambria" w:eastAsia="Cambria" w:hAnsi="Cambria"/>
          <w:b w:val="0"/>
          <w:i w:val="1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Premier Division.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Игрок из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Premier Division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 может принимать участие в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1 Division.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255" w:firstLine="31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255" w:firstLine="31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Организаторы турнира оставляют за собой право о допуске игрока к участию в турнире.</w:t>
      </w:r>
    </w:p>
    <w:p w:rsidR="00000000" w:rsidDel="00000000" w:rsidP="00000000" w:rsidRDefault="00000000" w:rsidRPr="00000000" w14:paraId="00000027">
      <w:pPr>
        <w:spacing w:after="0" w:before="67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67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5. Расписание турнира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67" w:line="240" w:lineRule="auto"/>
        <w:ind w:left="993" w:hanging="993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тборочные и финальные иг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ры во всех категориях.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67" w:line="240" w:lineRule="auto"/>
        <w:ind w:left="993" w:hanging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10.00 – начало турнира.</w:t>
      </w:r>
    </w:p>
    <w:p w:rsidR="00000000" w:rsidDel="00000000" w:rsidP="00000000" w:rsidRDefault="00000000" w:rsidRPr="00000000" w14:paraId="0000002B">
      <w:pPr>
        <w:spacing w:after="0" w:before="67" w:line="240" w:lineRule="auto"/>
        <w:ind w:left="993" w:hanging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20.00 – награждение и вечеринка.  </w:t>
      </w:r>
    </w:p>
    <w:p w:rsidR="00000000" w:rsidDel="00000000" w:rsidP="00000000" w:rsidRDefault="00000000" w:rsidRPr="00000000" w14:paraId="0000002C">
      <w:pPr>
        <w:spacing w:after="0" w:before="67" w:line="240" w:lineRule="auto"/>
        <w:ind w:left="993" w:hanging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6. Судейство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Все игры в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Premier Division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1 Division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будут обслуживать квалифицированные судьи, назначенные главным судьей соревнований. Игроки категории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Premier Division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должны быть готовы судить следующий матч по просьбе главного судьи.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7. Награждение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обедители и призеры будут награждены, медалями и ценными призами.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8. Условия проведения турнира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истема проведения каждого этапа турнира будет опреде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ляться через два дня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после окончания приема заявок. Встречи будут проводиться до 11 очков, до 2 выигранных геймов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Каждый участник будет иметь возможность сыграть минимум 3 матча.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Дети без защитных очков на корт не допускаются.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отсутствии ракетки на турнире по разным причинам, игрок может воспользоваться прокатными ракетками, оплатив стоимость проката на ресепшн.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К участию допускаются спортсмены, которые на момент закрытия приема заявок, оформили и оплатили взнос за лицензию спортсмена, согласно положению «О лицензировании спортсменов, которые принимают участие в официальных соревнованиях по сквошу на территории Украины».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255" w:firstLine="31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255" w:firstLine="315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Мяч турнира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DUNLOP**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255" w:firstLine="31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9. Условия пребывания гостей на территории клуба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Разрешено посещать: сквош корты, раздевалку, душевые.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При нарушении условий пребывания, администрация клуба имеет право отказать нарушителю в дальнейших посещениях сквош клуба.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Verdana" w:cs="Verdana" w:eastAsia="Verdana" w:hAnsi="Verdana"/>
          <w:b w:val="1"/>
          <w:color w:val="1f497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10. Сроки и подача заявки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ля участия  необходимо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за 3 дня до начала турнира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зарегистрироваться на Rankedin по ссылке: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https://rankedin.com/ua/tournament/1279/dnepr-squash-tour-final-2019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или по телефону: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b w:val="1"/>
          <w:i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u w:val="single"/>
          <w:rtl w:val="0"/>
        </w:rPr>
        <w:t xml:space="preserve">067 56</w:t>
      </w: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u w:val="single"/>
          <w:rtl w:val="0"/>
        </w:rPr>
        <w:t xml:space="preserve">4 3667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При снятии с турнира после составления сеток, взнос не возвращается.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11. Стартовый взнос.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00 грн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u w:val="single"/>
          <w:rtl w:val="0"/>
        </w:rPr>
        <w:t xml:space="preserve">Номер карты для оплаты взноса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4149 4978 6134 8060,   Булгаков Александр Александрович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12. Безопасность и медицинская страховка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Все игроки, до 19 лет включительно, должны находиться на корте в очках или защитных масках для игры в сквош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Участникам соревнований рекомендуется иметь медицинскую страховку.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Игроки в сквош участвуют в соревнованиях на свой страх и риск.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67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u w:val="single"/>
          <w:rtl w:val="0"/>
        </w:rPr>
        <w:t xml:space="preserve">Организаторы не несут ответственности за травмы и несчастные случаи, виновниками которых они не являются.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13. Организаторы турнира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Директор: Шкарупило Андрей тел. +38 067 564 36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284" w:top="142" w:left="709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 BLANCA"/>
  <w:font w:name="Times New Roman"/>
  <w:font w:name="Cambria"/>
  <w:font w:name="Book Antiqua"/>
  <w:font w:name="Verdana"/>
  <w:font w:name="Comic Sans M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53855"/>
    <w:pPr>
      <w:ind w:left="720"/>
      <w:contextualSpacing w:val="1"/>
    </w:pPr>
  </w:style>
  <w:style w:type="paragraph" w:styleId="a4">
    <w:name w:val="Normal (Web)"/>
    <w:basedOn w:val="a"/>
    <w:uiPriority w:val="99"/>
    <w:semiHidden w:val="1"/>
    <w:unhideWhenUsed w:val="1"/>
    <w:rsid w:val="00553855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styleId="a6" w:customStyle="1">
    <w:name w:val="Текст выноски Знак"/>
    <w:link w:val="a5"/>
    <w:uiPriority w:val="99"/>
    <w:semiHidden w:val="1"/>
    <w:rsid w:val="00553855"/>
    <w:rPr>
      <w:rFonts w:ascii="Tahoma" w:cs="Tahoma" w:hAnsi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8">
    <w:name w:val="Hyperlink"/>
    <w:uiPriority w:val="99"/>
    <w:unhideWhenUsed w:val="1"/>
    <w:rsid w:val="0025337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ankedin.com/ua/tournament/1279/dnepr-squash-tour-final-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