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Comic Sans MS" w:cs="Comic Sans MS" w:eastAsia="Comic Sans MS" w:hAnsi="Comic Sans MS"/>
          <w:color w:val="0000ff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color w:val="0000ff"/>
          <w:sz w:val="44"/>
          <w:szCs w:val="44"/>
        </w:rPr>
        <w:drawing>
          <wp:inline distB="114300" distT="114300" distL="114300" distR="114300">
            <wp:extent cx="742950" cy="12858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8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color w:val="0000ff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rFonts w:ascii="Comic Sans MS" w:cs="Comic Sans MS" w:eastAsia="Comic Sans MS" w:hAnsi="Comic Sans MS"/>
          <w:color w:val="0000ff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color w:val="0000ff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rFonts w:ascii="Cambria" w:cs="Cambria" w:eastAsia="Cambria" w:hAnsi="Cambria"/>
          <w:b w:val="1"/>
          <w:color w:val="0000ff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44"/>
          <w:szCs w:val="44"/>
          <w:rtl w:val="0"/>
        </w:rPr>
        <w:t xml:space="preserve">All&amp;Co</w:t>
      </w:r>
    </w:p>
    <w:p w:rsidR="00000000" w:rsidDel="00000000" w:rsidP="00000000" w:rsidRDefault="00000000" w:rsidRPr="00000000">
      <w:pPr>
        <w:contextualSpacing w:val="0"/>
        <w:jc w:val="center"/>
        <w:rPr>
          <w:rFonts w:ascii="Cambria" w:cs="Cambria" w:eastAsia="Cambria" w:hAnsi="Cambria"/>
          <w:b w:val="1"/>
          <w:color w:val="0000ff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sz w:val="44"/>
          <w:szCs w:val="44"/>
          <w:rtl w:val="0"/>
        </w:rPr>
        <w:t xml:space="preserve">Grand Prix Open 2017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Положення змагань</w:t>
      </w:r>
    </w:p>
    <w:p w:rsidR="00000000" w:rsidDel="00000000" w:rsidP="00000000" w:rsidRDefault="00000000" w:rsidRPr="00000000">
      <w:pPr>
        <w:contextualSpacing w:val="0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1. Мета та завдання: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●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Підвищення культурних та спортивних стосунків між гравцями.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●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Підвищення рівня майстерності.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● Пошук нових партнерів гри різного рівня.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●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Популяризація сквошу.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●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Популяризація здорового способу життя.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2. Термін проведення: 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18-19 листопада 2017 року.</w:t>
      </w:r>
    </w:p>
    <w:p w:rsidR="00000000" w:rsidDel="00000000" w:rsidP="00000000" w:rsidRDefault="00000000" w:rsidRPr="00000000">
      <w:pPr>
        <w:contextualSpacing w:val="0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3. Місце проведення:</w:t>
      </w:r>
    </w:p>
    <w:p w:rsidR="00000000" w:rsidDel="00000000" w:rsidP="00000000" w:rsidRDefault="00000000" w:rsidRPr="00000000">
      <w:pPr>
        <w:ind w:left="560" w:hanging="140"/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м. Київ, вул. Володимірська 101, клуб «Гран-Прі». На 4 кортах.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4. Учасники змагань:</w:t>
      </w:r>
    </w:p>
    <w:p w:rsidR="00000000" w:rsidDel="00000000" w:rsidP="00000000" w:rsidRDefault="00000000" w:rsidRPr="00000000">
      <w:pPr>
        <w:ind w:left="280"/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-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чоловіки: Pro, Elite(M1), M2(M3);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sz w:val="24"/>
          <w:szCs w:val="24"/>
          <w:rtl w:val="0"/>
        </w:rPr>
        <w:t xml:space="preserve">-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Lady;</w:t>
      </w:r>
    </w:p>
    <w:p w:rsidR="00000000" w:rsidDel="00000000" w:rsidP="00000000" w:rsidRDefault="00000000" w:rsidRPr="00000000">
      <w:pPr>
        <w:ind w:left="-30" w:hanging="135"/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   -  діти (до 13-ти років)</w:t>
      </w:r>
    </w:p>
    <w:p w:rsidR="00000000" w:rsidDel="00000000" w:rsidP="00000000" w:rsidRDefault="00000000" w:rsidRPr="00000000">
      <w:pPr>
        <w:ind w:left="560" w:hanging="140"/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Відповідно до регламенту національних змагань зі сквошу, в рамках проведення даного турніру, буде проводитися дитячий турнір категорії С.</w:t>
      </w:r>
    </w:p>
    <w:p w:rsidR="00000000" w:rsidDel="00000000" w:rsidP="00000000" w:rsidRDefault="00000000" w:rsidRPr="00000000">
      <w:pPr>
        <w:ind w:left="560" w:hanging="140"/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Діти до 14-ти років можуть грати в категорії не нижче М1.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ind w:left="280"/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Формування категорій від 16 чоловік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. Без обмежень допуску учасників.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В разі подачі заявок меншої кількості учасників – можливе об’єднання категорій.</w:t>
      </w:r>
    </w:p>
    <w:p w:rsidR="00000000" w:rsidDel="00000000" w:rsidP="00000000" w:rsidRDefault="00000000" w:rsidRPr="00000000">
      <w:pPr>
        <w:spacing w:before="60" w:lineRule="auto"/>
        <w:ind w:left="560" w:hanging="280"/>
        <w:contextualSpacing w:val="0"/>
        <w:jc w:val="both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1f497d"/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Розклад змагань:</w:t>
      </w:r>
    </w:p>
    <w:p w:rsidR="00000000" w:rsidDel="00000000" w:rsidP="00000000" w:rsidRDefault="00000000" w:rsidRPr="00000000">
      <w:pPr>
        <w:spacing w:before="60" w:lineRule="auto"/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субота – відбіркові ігри в усіх категоріях;</w:t>
      </w:r>
    </w:p>
    <w:p w:rsidR="00000000" w:rsidDel="00000000" w:rsidP="00000000" w:rsidRDefault="00000000" w:rsidRPr="00000000">
      <w:pPr>
        <w:spacing w:before="60" w:lineRule="auto"/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неділя – фінальні ігри.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6. Суддівство: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Усі матчі аматорів будуть обслуговувати кваліфіковані судді. В категоріях Pro та Elite – переможець судить наступну гру.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7. Нагородження: 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переможці та призери нагороджуються дипломами, медалями та цінними подарунками.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Призовий фонд в категорії Pro – 10000грн;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Розподілення призового фонду: 1місце – 4000грн, 2місце – 3000грн; 3місце – 2000грн; 4місце – 1000грн.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8. Умови проведення: 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всі ігри проводяться за олімпійською системою з розігруванням усіх місць; категорії юнаків та дівчат проводяться в 2 етапи, 1 етап – груповий, 2 етап - олімпійська система з розігруванням всіх місць. Ігри будуть проводитися до 11 очок, до 2 виграних геймів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. 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В категорії Pro та фінал Elite матчі до 3 перемог. Кожний гравець буде мати можливість зіграти мінімум 3 матчі.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i w:val="1"/>
          <w:color w:val="1f497d"/>
          <w:sz w:val="24"/>
          <w:szCs w:val="24"/>
        </w:rPr>
      </w:pPr>
      <w:r w:rsidDel="00000000" w:rsidR="00000000" w:rsidRPr="00000000">
        <w:rPr>
          <w:b w:val="1"/>
          <w:i w:val="1"/>
          <w:color w:val="1f497d"/>
          <w:sz w:val="24"/>
          <w:szCs w:val="24"/>
          <w:rtl w:val="0"/>
        </w:rPr>
        <w:t xml:space="preserve">Діти та юніори допускаються до гри лише в захисних окулярах, не залежно від категорії, в якій вони приймають участь.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9. Умови перебування гостей на території клубу: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для учасників, котрі не є членами клубу “Гран-Прі”, відвідування клубу обмежено.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Для проходу на турнір необхідно: одягнути браслет гостя клубу.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Дозволено відвідувати: сквош-корти, переодягальню, душові, сауну, ресторан, паркінг.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Під час перебування на території клубу заборонено знімати браслет гостя, відвідувати інші зони клуба.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У разі порушень умов відвідування, порушник зобов’язаний сплатити гостьовий візит.</w:t>
      </w:r>
    </w:p>
    <w:p w:rsidR="00000000" w:rsidDel="00000000" w:rsidP="00000000" w:rsidRDefault="00000000" w:rsidRPr="00000000">
      <w:pPr>
        <w:contextualSpacing w:val="0"/>
        <w:jc w:val="both"/>
        <w:rPr>
          <w:rFonts w:ascii="Verdana" w:cs="Verdana" w:eastAsia="Verdana" w:hAnsi="Verdana"/>
          <w:b w:val="1"/>
          <w:color w:val="1f497d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rFonts w:ascii="Verdana" w:cs="Verdana" w:eastAsia="Verdana" w:hAnsi="Verdana"/>
          <w:b w:val="1"/>
          <w:color w:val="1f497d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10. Термін та подача заявок: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для участі в турнірі необхідно до 16 листопаду заповнити заявку на сайті федерації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та сплатити внесок учасника.</w:t>
      </w:r>
    </w:p>
    <w:p w:rsidR="00000000" w:rsidDel="00000000" w:rsidP="00000000" w:rsidRDefault="00000000" w:rsidRPr="00000000">
      <w:pPr>
        <w:contextualSpacing w:val="0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У разі відмови від участі в змаганнях після складання розкладу турніру, внесок не повертається.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11. Стартовий внесок:</w:t>
      </w:r>
    </w:p>
    <w:p w:rsidR="00000000" w:rsidDel="00000000" w:rsidP="00000000" w:rsidRDefault="00000000" w:rsidRPr="00000000">
      <w:pPr>
        <w:contextualSpacing w:val="0"/>
        <w:jc w:val="both"/>
        <w:rPr>
          <w:i w:val="1"/>
          <w:color w:val="1f497d"/>
          <w:sz w:val="24"/>
          <w:szCs w:val="24"/>
        </w:rPr>
      </w:pPr>
      <w:r w:rsidDel="00000000" w:rsidR="00000000" w:rsidRPr="00000000">
        <w:rPr>
          <w:i w:val="1"/>
          <w:color w:val="1f497d"/>
          <w:sz w:val="24"/>
          <w:szCs w:val="24"/>
          <w:rtl w:val="0"/>
        </w:rPr>
        <w:t xml:space="preserve">Pro, Elite, M1, M2, M3, Lady - 800 грн;</w:t>
      </w:r>
    </w:p>
    <w:p w:rsidR="00000000" w:rsidDel="00000000" w:rsidP="00000000" w:rsidRDefault="00000000" w:rsidRPr="00000000">
      <w:pPr>
        <w:contextualSpacing w:val="0"/>
        <w:jc w:val="both"/>
        <w:rPr>
          <w:i w:val="1"/>
          <w:color w:val="1f497d"/>
          <w:sz w:val="24"/>
          <w:szCs w:val="24"/>
        </w:rPr>
      </w:pPr>
      <w:r w:rsidDel="00000000" w:rsidR="00000000" w:rsidRPr="00000000">
        <w:rPr>
          <w:i w:val="1"/>
          <w:color w:val="1f497d"/>
          <w:sz w:val="24"/>
          <w:szCs w:val="24"/>
          <w:rtl w:val="0"/>
        </w:rPr>
        <w:t xml:space="preserve">Діти – 500грн.</w:t>
      </w:r>
    </w:p>
    <w:p w:rsidR="00000000" w:rsidDel="00000000" w:rsidP="00000000" w:rsidRDefault="00000000" w:rsidRPr="00000000">
      <w:pPr>
        <w:contextualSpacing w:val="0"/>
        <w:jc w:val="both"/>
        <w:rPr>
          <w:i w:val="1"/>
          <w:color w:val="1f497d"/>
          <w:sz w:val="24"/>
          <w:szCs w:val="24"/>
        </w:rPr>
      </w:pPr>
      <w:r w:rsidDel="00000000" w:rsidR="00000000" w:rsidRPr="00000000">
        <w:rPr>
          <w:b w:val="1"/>
          <w:i w:val="1"/>
          <w:color w:val="1f497d"/>
          <w:sz w:val="24"/>
          <w:szCs w:val="24"/>
          <w:rtl w:val="0"/>
        </w:rPr>
        <w:t xml:space="preserve">Оплатити необхідно до 16 листопада</w:t>
      </w:r>
      <w:r w:rsidDel="00000000" w:rsidR="00000000" w:rsidRPr="00000000">
        <w:rPr>
          <w:i w:val="1"/>
          <w:color w:val="1f497d"/>
          <w:sz w:val="24"/>
          <w:szCs w:val="24"/>
          <w:rtl w:val="0"/>
        </w:rPr>
        <w:t xml:space="preserve"> за реквізитами:</w:t>
      </w:r>
    </w:p>
    <w:p w:rsidR="00000000" w:rsidDel="00000000" w:rsidP="00000000" w:rsidRDefault="00000000" w:rsidRPr="00000000">
      <w:pPr>
        <w:contextualSpacing w:val="0"/>
        <w:jc w:val="both"/>
        <w:rPr>
          <w:i w:val="1"/>
          <w:color w:val="1f497d"/>
          <w:sz w:val="24"/>
          <w:szCs w:val="24"/>
        </w:rPr>
      </w:pPr>
      <w:r w:rsidDel="00000000" w:rsidR="00000000" w:rsidRPr="00000000">
        <w:rPr>
          <w:i w:val="1"/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на платіжну карту 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Приват24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№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5168755108380979</w:t>
      </w:r>
      <w:r w:rsidDel="00000000" w:rsidR="00000000" w:rsidRPr="00000000">
        <w:rPr>
          <w:color w:val="1f497d"/>
          <w:sz w:val="24"/>
          <w:szCs w:val="24"/>
          <w:rtl w:val="0"/>
        </w:rPr>
        <w:t xml:space="preserve">      Шандыбин Артём                              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Обов’язково вказуйте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!  (ПІБ, оплата за участь у All&amp;Co зі сквошу 18-19.11.2017).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12. Медична страховка: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учасникам змагань рекомендується мати медичну страховку.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Учасники приймають участь в змаганнях на свій страх та ризик.</w:t>
      </w:r>
    </w:p>
    <w:p w:rsidR="00000000" w:rsidDel="00000000" w:rsidP="00000000" w:rsidRDefault="00000000" w:rsidRPr="00000000">
      <w:pPr>
        <w:spacing w:before="60" w:lineRule="auto"/>
        <w:contextualSpacing w:val="0"/>
        <w:jc w:val="both"/>
        <w:rPr>
          <w:i w:val="1"/>
          <w:color w:val="1f497d"/>
          <w:sz w:val="24"/>
          <w:szCs w:val="24"/>
          <w:u w:val="single"/>
        </w:rPr>
      </w:pPr>
      <w:r w:rsidDel="00000000" w:rsidR="00000000" w:rsidRPr="00000000">
        <w:rPr>
          <w:i w:val="1"/>
          <w:color w:val="1f497d"/>
          <w:sz w:val="24"/>
          <w:szCs w:val="24"/>
          <w:u w:val="single"/>
          <w:rtl w:val="0"/>
        </w:rPr>
        <w:t xml:space="preserve">Організатори не несуть відповідальність за травми та нещасні випадки, в яких вони невинні.</w:t>
      </w:r>
    </w:p>
    <w:p w:rsidR="00000000" w:rsidDel="00000000" w:rsidP="00000000" w:rsidRDefault="00000000" w:rsidRPr="00000000">
      <w:pPr>
        <w:contextualSpacing w:val="0"/>
        <w:rPr>
          <w:color w:val="1f497d"/>
          <w:sz w:val="20"/>
          <w:szCs w:val="20"/>
        </w:rPr>
      </w:pPr>
      <w:r w:rsidDel="00000000" w:rsidR="00000000" w:rsidRPr="00000000">
        <w:rPr>
          <w:color w:val="1f497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b w:val="1"/>
          <w:color w:val="1f497d"/>
          <w:sz w:val="24"/>
          <w:szCs w:val="24"/>
        </w:rPr>
      </w:pP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13. Організаційний комітет:  </w:t>
      </w:r>
    </w:p>
    <w:p w:rsidR="00000000" w:rsidDel="00000000" w:rsidP="00000000" w:rsidRDefault="00000000" w:rsidRPr="00000000">
      <w:pPr>
        <w:contextualSpacing w:val="0"/>
        <w:jc w:val="both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Директор турніру – Шандибін Артем 0952824988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color w:val="1f497d"/>
        </w:rPr>
      </w:pPr>
      <w:r w:rsidDel="00000000" w:rsidR="00000000" w:rsidRPr="00000000">
        <w:rPr>
          <w:rFonts w:ascii="Times New Roman" w:cs="Times New Roman" w:eastAsia="Times New Roman" w:hAnsi="Times New Roman"/>
          <w:color w:val="1f497d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omic Sans MS"/>
  <w:font w:name="Cambr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