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B7" w:rsidRPr="00EB216D" w:rsidRDefault="00EB216D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216D">
        <w:rPr>
          <w:rFonts w:ascii="Times New Roman" w:hAnsi="Times New Roman" w:cs="Times New Roman"/>
          <w:b/>
          <w:sz w:val="28"/>
          <w:szCs w:val="28"/>
        </w:rPr>
        <w:t>Положення про Д</w:t>
      </w:r>
      <w:r w:rsidR="00B936FA" w:rsidRPr="00EB216D">
        <w:rPr>
          <w:rFonts w:ascii="Times New Roman" w:hAnsi="Times New Roman" w:cs="Times New Roman"/>
          <w:b/>
          <w:sz w:val="28"/>
          <w:szCs w:val="28"/>
        </w:rPr>
        <w:t xml:space="preserve">исциплінарну комісію Федерації </w:t>
      </w:r>
      <w:proofErr w:type="spellStart"/>
      <w:r w:rsidR="00B936FA" w:rsidRPr="00EB216D">
        <w:rPr>
          <w:rFonts w:ascii="Times New Roman" w:hAnsi="Times New Roman" w:cs="Times New Roman"/>
          <w:b/>
          <w:sz w:val="28"/>
          <w:szCs w:val="28"/>
        </w:rPr>
        <w:t>сквошу</w:t>
      </w:r>
      <w:proofErr w:type="spellEnd"/>
      <w:r w:rsidR="00B936FA" w:rsidRPr="00EB216D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</w:p>
    <w:p w:rsidR="00F9514A" w:rsidRPr="00EB216D" w:rsidRDefault="00F9514A" w:rsidP="00ED3308">
      <w:pPr>
        <w:shd w:val="clear" w:color="auto" w:fill="FFFFFF"/>
        <w:spacing w:after="15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Це Положення визначає порядок утворення при Федерації </w:t>
      </w:r>
      <w:proofErr w:type="spellStart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(далі - ФСУ) Дисциплінарної комісії (далі - Комісія), її завдання, функції та порядок діяльності.</w:t>
      </w:r>
    </w:p>
    <w:p w:rsidR="00F9514A" w:rsidRPr="00EB216D" w:rsidRDefault="00F9514A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16"/>
      <w:bookmarkEnd w:id="0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У своїй діяльності 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керується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Статутом ФСУ,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Регла</w:t>
      </w:r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ментом проведення турнірів зі </w:t>
      </w:r>
      <w:proofErr w:type="spellStart"/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Положеннями про відповідні комітети, цим Положенням, а також наказами Президії</w:t>
      </w:r>
      <w:r w:rsidR="0069735D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ФСУ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9514A" w:rsidRPr="00EB216D" w:rsidRDefault="0069735D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7"/>
      <w:bookmarkEnd w:id="1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Основним завданням</w:t>
      </w:r>
      <w:r w:rsidR="00DC636C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F9514A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Комісії є розгля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 звернень суддів</w:t>
      </w:r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 </w:t>
      </w:r>
      <w:proofErr w:type="spellStart"/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головних суддів</w:t>
      </w:r>
      <w:r w:rsidR="00701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ГС)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директорів турнірів</w:t>
      </w:r>
      <w:r w:rsidR="00701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ДТ)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гравців, тренерів зі </w:t>
      </w:r>
      <w:proofErr w:type="spellStart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неналежної поведінки гравців під час турнірів зі </w:t>
      </w:r>
      <w:proofErr w:type="spellStart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будь-якої категорії та відповідне реагування. </w:t>
      </w:r>
      <w:r w:rsidR="00F9514A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9514A" w:rsidRPr="00EB216D" w:rsidRDefault="00F9514A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8"/>
      <w:bookmarkEnd w:id="2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Комісія відповідно до покладених на неї завдань:</w:t>
      </w:r>
    </w:p>
    <w:p w:rsidR="00DC636C" w:rsidRPr="00EB216D" w:rsidRDefault="00EB216D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DC636C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роводить свої планові та позапланові засідання;</w:t>
      </w:r>
    </w:p>
    <w:p w:rsidR="00DC636C" w:rsidRPr="00EB216D" w:rsidRDefault="00EB216D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DC636C"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озробляє перелік санкцій, що застосовується до гравців у разі їх неналежної поведінки;</w:t>
      </w:r>
    </w:p>
    <w:p w:rsidR="00F9514A" w:rsidRPr="00EB216D" w:rsidRDefault="00DC636C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9"/>
      <w:bookmarkEnd w:id="3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розглядає звернення суддів, </w:t>
      </w:r>
      <w:r w:rsidR="00701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ГС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01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ДТ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гравців, тренерів зі </w:t>
      </w:r>
      <w:proofErr w:type="spellStart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неналежної поведінки гравців під час турнірів зі </w:t>
      </w:r>
      <w:proofErr w:type="spellStart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будь-якої категорії;</w:t>
      </w:r>
    </w:p>
    <w:p w:rsidR="00EB216D" w:rsidRDefault="00F9514A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21"/>
      <w:bookmarkEnd w:id="4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перевірку фактів, що </w:t>
      </w:r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викладені у листах, 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доповідних</w:t>
      </w:r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учасників турнірів щодо неналежної поведінки гравців;</w:t>
      </w:r>
    </w:p>
    <w:p w:rsidR="007C7589" w:rsidRDefault="00F9514A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22"/>
      <w:bookmarkStart w:id="6" w:name="n23"/>
      <w:bookmarkEnd w:id="5"/>
      <w:bookmarkEnd w:id="6"/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дає консультації і рекомендації організаторам турнірів щодо відповідної реакції </w:t>
      </w:r>
      <w:r w:rsidR="007C75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неналежну поведінку гравців під час турнірів та інше.</w:t>
      </w:r>
      <w:r w:rsidRPr="00EB21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7" w:name="n24"/>
      <w:bookmarkEnd w:id="7"/>
    </w:p>
    <w:p w:rsidR="00AC0E13" w:rsidRDefault="00F9514A" w:rsidP="00ED3308">
      <w:pPr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C0E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До складу Комісії входять </w:t>
      </w:r>
      <w:r w:rsidR="00AC0E13" w:rsidRPr="00AC0E13">
        <w:rPr>
          <w:rFonts w:ascii="Times New Roman" w:hAnsi="Times New Roman" w:cs="Times New Roman"/>
          <w:sz w:val="28"/>
          <w:szCs w:val="28"/>
        </w:rPr>
        <w:t>за посадами:</w:t>
      </w:r>
    </w:p>
    <w:p w:rsidR="0015730D" w:rsidRPr="00AC0E13" w:rsidRDefault="0015730D" w:rsidP="00ED3308">
      <w:pPr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15730D" w:rsidRDefault="0015730D" w:rsidP="00ED330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Президент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Федерац</w:t>
      </w:r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0E13" w:rsidRDefault="00AC0E13" w:rsidP="00ED330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(представник) Комітету з суддівства;</w:t>
      </w:r>
    </w:p>
    <w:p w:rsidR="00AC0E13" w:rsidRDefault="00D34269" w:rsidP="00ED330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AC0E13">
        <w:rPr>
          <w:rFonts w:ascii="Times New Roman" w:hAnsi="Times New Roman" w:cs="Times New Roman"/>
          <w:sz w:val="28"/>
          <w:szCs w:val="28"/>
        </w:rPr>
        <w:t xml:space="preserve"> (представник) Комітету з організації турнірів;</w:t>
      </w:r>
    </w:p>
    <w:p w:rsidR="00AC0E13" w:rsidRPr="00AC0E13" w:rsidRDefault="00AC0E13" w:rsidP="00ED33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Тимчасово до складу Комісії можуть входити:</w:t>
      </w:r>
      <w:bookmarkStart w:id="8" w:name="_GoBack"/>
      <w:bookmarkEnd w:id="8"/>
    </w:p>
    <w:p w:rsidR="00AC0E13" w:rsidRDefault="00AC0E13" w:rsidP="00ED330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суддя турніру;</w:t>
      </w:r>
    </w:p>
    <w:p w:rsidR="00AC0E13" w:rsidRDefault="00AC0E13" w:rsidP="00ED330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турніру.</w:t>
      </w:r>
    </w:p>
    <w:p w:rsidR="007E22C7" w:rsidRDefault="00093F12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26"/>
      <w:bookmarkStart w:id="10" w:name="n27"/>
      <w:bookmarkStart w:id="11" w:name="n28"/>
      <w:bookmarkEnd w:id="9"/>
      <w:bookmarkEnd w:id="10"/>
      <w:bookmarkEnd w:id="11"/>
      <w:r w:rsidRPr="00093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випадку </w:t>
      </w:r>
      <w:r w:rsidR="00701B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неналежної поведінки гравців суддя, що обслуговував матч, повинен поінформувати про такий інцидент ГС турніру одразу після закінчення матчу усно та/або письмово. ГС в свою чергу повинен прийняти рішення щодо дисциплінарного </w:t>
      </w:r>
      <w:r w:rsidR="003B14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покарання. </w:t>
      </w:r>
    </w:p>
    <w:p w:rsidR="007E22C7" w:rsidRDefault="003B14BF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10 календарних днів після закінчення турніру ГС повинен </w:t>
      </w:r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письмово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поінформувати ФСУ щодо інцидентів неналежної поведінки гравців та надати свої пропозиції щодо подальших санкцій, що може бути застосовано до гравців. 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</w:t>
      </w:r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повинен бути складений відповідно до Правил гри у </w:t>
      </w:r>
      <w:proofErr w:type="spellStart"/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</w:t>
      </w:r>
      <w:proofErr w:type="spellEnd"/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затверджених Всесвітньою федерацією </w:t>
      </w:r>
      <w:proofErr w:type="spellStart"/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сквошу</w:t>
      </w:r>
      <w:proofErr w:type="spellEnd"/>
      <w:r w:rsidR="007E2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E22C7" w:rsidRDefault="007E22C7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разі, якщо ГС, ДТ в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ідмовляються будь-яким чином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реагувати на звернення судді турніру, останній може самостійно поінформувати ФСУ щодо інцидентів, які мали місце під час його роботи.</w:t>
      </w:r>
    </w:p>
    <w:p w:rsidR="007E22C7" w:rsidRDefault="007E22C7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Комісія розглядає звернення від ГС, ДТ, суддів протягом 5 календарних днів з моменту надходження на адресу ФСУ, перевіряє факти, викладені у зверненнях, та приймає рішення щодо санкцій, які може бути застосовано до гравців. </w:t>
      </w:r>
      <w:r w:rsidR="003B14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7E22C7" w:rsidRDefault="007E22C7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 санкцій визначено у додатку до цього Положення.</w:t>
      </w:r>
    </w:p>
    <w:p w:rsidR="00E86A9F" w:rsidRDefault="00E86A9F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щодо санкцій Комісія оформлює відповідним протоколом. Протягом 3 календарних днів після складання протоколу Комісія інформує гравців, до яких буде застосовано санкції, 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надіславши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D33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листи</w:t>
      </w:r>
      <w:r w:rsidR="00D34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адреси 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елек</w:t>
      </w:r>
      <w:r w:rsidR="00D34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тронних скриньок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Рішення Комісії публікуються на офіційному сайті ФСУ. </w:t>
      </w:r>
    </w:p>
    <w:p w:rsidR="00F9514A" w:rsidRPr="00EB216D" w:rsidRDefault="00F9514A" w:rsidP="00ED3308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36FA" w:rsidRDefault="00B936FA" w:rsidP="00ED33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n98"/>
      <w:bookmarkEnd w:id="12"/>
    </w:p>
    <w:p w:rsidR="003D7BF7" w:rsidRPr="003D7BF7" w:rsidRDefault="003D7BF7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7BF7">
        <w:rPr>
          <w:rFonts w:ascii="Times New Roman" w:hAnsi="Times New Roman" w:cs="Times New Roman"/>
          <w:b/>
          <w:sz w:val="28"/>
          <w:szCs w:val="28"/>
        </w:rPr>
        <w:t xml:space="preserve">Президент ГО </w:t>
      </w:r>
    </w:p>
    <w:p w:rsidR="003D7BF7" w:rsidRDefault="003D7BF7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7BF7">
        <w:rPr>
          <w:rFonts w:ascii="Times New Roman" w:hAnsi="Times New Roman" w:cs="Times New Roman"/>
          <w:b/>
          <w:sz w:val="28"/>
          <w:szCs w:val="28"/>
        </w:rPr>
        <w:t xml:space="preserve">Федерація </w:t>
      </w:r>
      <w:proofErr w:type="spellStart"/>
      <w:r w:rsidRPr="003D7BF7">
        <w:rPr>
          <w:rFonts w:ascii="Times New Roman" w:hAnsi="Times New Roman" w:cs="Times New Roman"/>
          <w:b/>
          <w:sz w:val="28"/>
          <w:szCs w:val="28"/>
        </w:rPr>
        <w:t>сквошу</w:t>
      </w:r>
      <w:proofErr w:type="spellEnd"/>
      <w:r w:rsidRPr="003D7BF7">
        <w:rPr>
          <w:rFonts w:ascii="Times New Roman" w:hAnsi="Times New Roman" w:cs="Times New Roman"/>
          <w:b/>
          <w:sz w:val="28"/>
          <w:szCs w:val="28"/>
        </w:rPr>
        <w:t xml:space="preserve"> України»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3D7BF7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3D7BF7">
        <w:rPr>
          <w:rFonts w:ascii="Times New Roman" w:hAnsi="Times New Roman" w:cs="Times New Roman"/>
          <w:b/>
          <w:sz w:val="28"/>
          <w:szCs w:val="28"/>
        </w:rPr>
        <w:t>Нетребчук</w:t>
      </w:r>
      <w:proofErr w:type="spellEnd"/>
    </w:p>
    <w:p w:rsidR="00ED3308" w:rsidRDefault="00ED3308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1105" w:rsidRDefault="00DA1105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1105" w:rsidRDefault="00DA1105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1105" w:rsidRDefault="00DA1105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1105" w:rsidRDefault="00DA1105" w:rsidP="00ED33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Додато</w:t>
      </w:r>
      <w:r w:rsidR="00D07C3C">
        <w:rPr>
          <w:rFonts w:ascii="Times New Roman" w:hAnsi="Times New Roman" w:cs="Times New Roman"/>
          <w:b/>
          <w:sz w:val="28"/>
          <w:szCs w:val="28"/>
        </w:rPr>
        <w:t>к до Положення про Дисциплінарну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комісію ФСУ</w:t>
      </w:r>
    </w:p>
    <w:p w:rsidR="00DA1105" w:rsidRDefault="00DA1105" w:rsidP="00ED33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105">
        <w:rPr>
          <w:rFonts w:ascii="Times New Roman" w:hAnsi="Times New Roman" w:cs="Times New Roman"/>
          <w:sz w:val="28"/>
          <w:szCs w:val="28"/>
        </w:rPr>
        <w:t xml:space="preserve">Перелік </w:t>
      </w:r>
      <w:r>
        <w:rPr>
          <w:rFonts w:ascii="Times New Roman" w:hAnsi="Times New Roman" w:cs="Times New Roman"/>
          <w:sz w:val="28"/>
          <w:szCs w:val="28"/>
        </w:rPr>
        <w:t>прикладів</w:t>
      </w:r>
      <w:r w:rsidRPr="00DA1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неналежної</w:t>
      </w:r>
      <w:r w:rsidRPr="00DA1105">
        <w:rPr>
          <w:rFonts w:ascii="Times New Roman" w:hAnsi="Times New Roman" w:cs="Times New Roman"/>
          <w:sz w:val="28"/>
          <w:szCs w:val="28"/>
        </w:rPr>
        <w:t xml:space="preserve"> поведінки гравців та можливих санкцій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A1105" w:rsidTr="00DA1105">
        <w:tc>
          <w:tcPr>
            <w:tcW w:w="4814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C3C">
              <w:rPr>
                <w:rFonts w:ascii="Times New Roman" w:hAnsi="Times New Roman" w:cs="Times New Roman"/>
                <w:b/>
                <w:sz w:val="28"/>
                <w:szCs w:val="28"/>
              </w:rPr>
              <w:t>Приклад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C3C">
              <w:rPr>
                <w:rFonts w:ascii="Times New Roman" w:hAnsi="Times New Roman" w:cs="Times New Roman"/>
                <w:b/>
                <w:sz w:val="28"/>
                <w:szCs w:val="28"/>
              </w:rPr>
              <w:t>поведінки</w:t>
            </w:r>
          </w:p>
        </w:tc>
        <w:tc>
          <w:tcPr>
            <w:tcW w:w="4815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C3C">
              <w:rPr>
                <w:rFonts w:ascii="Times New Roman" w:hAnsi="Times New Roman" w:cs="Times New Roman"/>
                <w:b/>
                <w:sz w:val="28"/>
                <w:szCs w:val="28"/>
              </w:rPr>
              <w:t>Можливі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C3C">
              <w:rPr>
                <w:rFonts w:ascii="Times New Roman" w:hAnsi="Times New Roman" w:cs="Times New Roman"/>
                <w:b/>
                <w:sz w:val="28"/>
                <w:szCs w:val="28"/>
              </w:rPr>
              <w:t>санкції</w:t>
            </w:r>
          </w:p>
        </w:tc>
      </w:tr>
      <w:tr w:rsidR="00DA1105" w:rsidTr="00DA1105">
        <w:tc>
          <w:tcPr>
            <w:tcW w:w="4814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Кидок ракетки у бік глядачів, суддів</w:t>
            </w:r>
          </w:p>
        </w:tc>
        <w:tc>
          <w:tcPr>
            <w:tcW w:w="4815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100 грн </w:t>
            </w:r>
          </w:p>
        </w:tc>
      </w:tr>
      <w:tr w:rsidR="00DA1105" w:rsidTr="00DA1105">
        <w:tc>
          <w:tcPr>
            <w:tcW w:w="4814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Небезпечна гра, у результаті якої було травмовано суперника</w:t>
            </w:r>
          </w:p>
        </w:tc>
        <w:tc>
          <w:tcPr>
            <w:tcW w:w="4815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500 грн та дискваліфікація на 3 місяці від участі у всіх турнірах, що проводяться під егідою ФСУ</w:t>
            </w:r>
          </w:p>
        </w:tc>
      </w:tr>
      <w:tr w:rsidR="00DA1105" w:rsidTr="00DA1105">
        <w:tc>
          <w:tcPr>
            <w:tcW w:w="4814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Будь-яка екстремальна поведінка, яка негативно впливає на репутацію гри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сквош</w:t>
            </w:r>
            <w:proofErr w:type="spellEnd"/>
          </w:p>
        </w:tc>
        <w:tc>
          <w:tcPr>
            <w:tcW w:w="4815" w:type="dxa"/>
          </w:tcPr>
          <w:p w:rsidR="00DA1105" w:rsidRDefault="00BC4F69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300 грн</w:t>
            </w:r>
          </w:p>
        </w:tc>
      </w:tr>
      <w:tr w:rsidR="00DA1105" w:rsidTr="00DA1105">
        <w:tc>
          <w:tcPr>
            <w:tcW w:w="4814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Нецензурна лексика, яку чутно</w:t>
            </w:r>
          </w:p>
        </w:tc>
        <w:tc>
          <w:tcPr>
            <w:tcW w:w="4815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300 грн</w:t>
            </w:r>
          </w:p>
        </w:tc>
      </w:tr>
      <w:tr w:rsidR="00DA1105" w:rsidTr="00DA1105">
        <w:tc>
          <w:tcPr>
            <w:tcW w:w="4814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Коментарі щодо рішення судді(в) з використанням нецензурної лексики</w:t>
            </w:r>
          </w:p>
        </w:tc>
        <w:tc>
          <w:tcPr>
            <w:tcW w:w="4815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500 грн та/або дискваліфікація на 6 місяців від участі у всіх турнірах, що проводяться під егідою ФСУ </w:t>
            </w:r>
          </w:p>
        </w:tc>
      </w:tr>
      <w:tr w:rsidR="00DA1105" w:rsidTr="00DA1105">
        <w:tc>
          <w:tcPr>
            <w:tcW w:w="4814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Образа суперника</w:t>
            </w:r>
          </w:p>
        </w:tc>
        <w:tc>
          <w:tcPr>
            <w:tcW w:w="4815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300 грн та дискваліфікація на 3 місяці від участі у всіх турнірах, що проводяться під егідою ФСУ</w:t>
            </w:r>
          </w:p>
        </w:tc>
      </w:tr>
      <w:tr w:rsidR="00DA1105" w:rsidTr="00DA1105">
        <w:tc>
          <w:tcPr>
            <w:tcW w:w="4814" w:type="dxa"/>
          </w:tcPr>
          <w:p w:rsidR="00DA1105" w:rsidRDefault="00D07C3C" w:rsidP="00D07C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Необґрунтована відмова продовжувати матч до його закінчення</w:t>
            </w:r>
          </w:p>
        </w:tc>
        <w:tc>
          <w:tcPr>
            <w:tcW w:w="4815" w:type="dxa"/>
          </w:tcPr>
          <w:p w:rsidR="00DA1105" w:rsidRDefault="00D07C3C" w:rsidP="00ED33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300 грн</w:t>
            </w:r>
          </w:p>
        </w:tc>
      </w:tr>
      <w:tr w:rsidR="00D07C3C" w:rsidTr="00D07C3C">
        <w:tc>
          <w:tcPr>
            <w:tcW w:w="4814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Неприйнятний одяг</w:t>
            </w:r>
          </w:p>
        </w:tc>
        <w:tc>
          <w:tcPr>
            <w:tcW w:w="4815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500 грн</w:t>
            </w:r>
          </w:p>
        </w:tc>
      </w:tr>
      <w:tr w:rsidR="00D07C3C" w:rsidTr="00D07C3C">
        <w:tc>
          <w:tcPr>
            <w:tcW w:w="4814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Запізнення на гру більше, ніж на 10 хвилин</w:t>
            </w:r>
          </w:p>
        </w:tc>
        <w:tc>
          <w:tcPr>
            <w:tcW w:w="4815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200 грн</w:t>
            </w:r>
          </w:p>
        </w:tc>
      </w:tr>
      <w:tr w:rsidR="00D07C3C" w:rsidTr="00D07C3C">
        <w:tc>
          <w:tcPr>
            <w:tcW w:w="4814" w:type="dxa"/>
          </w:tcPr>
          <w:p w:rsidR="00D07C3C" w:rsidRDefault="009D6B4F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Необґрунтована в</w:t>
            </w:r>
            <w:r w:rsidR="00D07C3C">
              <w:rPr>
                <w:rFonts w:ascii="Times New Roman" w:hAnsi="Times New Roman" w:cs="Times New Roman"/>
                <w:sz w:val="28"/>
                <w:szCs w:val="28"/>
              </w:rPr>
              <w:t>ідмова від участі у матчі</w:t>
            </w:r>
          </w:p>
        </w:tc>
        <w:tc>
          <w:tcPr>
            <w:tcW w:w="4815" w:type="dxa"/>
          </w:tcPr>
          <w:p w:rsidR="00D07C3C" w:rsidRDefault="009D6B4F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300 грн та дискваліфікація на 3 місяці від участі у всіх турнірах, що проводяться під егідою ФСУ</w:t>
            </w:r>
          </w:p>
        </w:tc>
      </w:tr>
      <w:tr w:rsidR="00D07C3C" w:rsidTr="00D07C3C">
        <w:tc>
          <w:tcPr>
            <w:tcW w:w="4814" w:type="dxa"/>
          </w:tcPr>
          <w:p w:rsidR="00D07C3C" w:rsidRDefault="009D6B4F" w:rsidP="009D6B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Необґрунтована відмова від участі у турнірі пізніше, ніж за 5 днів до його початку</w:t>
            </w:r>
          </w:p>
        </w:tc>
        <w:tc>
          <w:tcPr>
            <w:tcW w:w="4815" w:type="dxa"/>
          </w:tcPr>
          <w:p w:rsidR="00D07C3C" w:rsidRDefault="009D6B4F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500 грн </w:t>
            </w:r>
            <w:r w:rsidR="00D34269">
              <w:rPr>
                <w:rFonts w:ascii="Times New Roman" w:hAnsi="Times New Roman" w:cs="Times New Roman"/>
                <w:sz w:val="28"/>
                <w:szCs w:val="28"/>
              </w:rPr>
              <w:t>та дискваліфікація на 3 місяці від участі у всіх турнірах, що проводяться під егідою ФСУ</w:t>
            </w:r>
          </w:p>
        </w:tc>
      </w:tr>
      <w:tr w:rsidR="00D07C3C" w:rsidTr="00D07C3C">
        <w:tc>
          <w:tcPr>
            <w:tcW w:w="4814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C3C" w:rsidTr="00D07C3C">
        <w:tc>
          <w:tcPr>
            <w:tcW w:w="4814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07C3C" w:rsidRDefault="00D07C3C" w:rsidP="00531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105" w:rsidRPr="00DA1105" w:rsidRDefault="00DA1105" w:rsidP="00ED33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A1105" w:rsidRPr="00DA1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A6"/>
    <w:multiLevelType w:val="hybridMultilevel"/>
    <w:tmpl w:val="86749FC2"/>
    <w:lvl w:ilvl="0" w:tplc="DAD0D7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C16F5"/>
    <w:multiLevelType w:val="multilevel"/>
    <w:tmpl w:val="F85465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0B"/>
    <w:rsid w:val="00006A3B"/>
    <w:rsid w:val="00023B98"/>
    <w:rsid w:val="000408BF"/>
    <w:rsid w:val="0004337A"/>
    <w:rsid w:val="00044728"/>
    <w:rsid w:val="00046E4D"/>
    <w:rsid w:val="000472B4"/>
    <w:rsid w:val="00061304"/>
    <w:rsid w:val="00072988"/>
    <w:rsid w:val="00076CB1"/>
    <w:rsid w:val="000867B5"/>
    <w:rsid w:val="00087C61"/>
    <w:rsid w:val="00091511"/>
    <w:rsid w:val="00093B8D"/>
    <w:rsid w:val="00093F12"/>
    <w:rsid w:val="000959D7"/>
    <w:rsid w:val="000A7BF5"/>
    <w:rsid w:val="000B0652"/>
    <w:rsid w:val="000C18BE"/>
    <w:rsid w:val="000C460C"/>
    <w:rsid w:val="000D2133"/>
    <w:rsid w:val="000D605A"/>
    <w:rsid w:val="000E1209"/>
    <w:rsid w:val="000E69D5"/>
    <w:rsid w:val="00100720"/>
    <w:rsid w:val="00101B25"/>
    <w:rsid w:val="00112094"/>
    <w:rsid w:val="00121D93"/>
    <w:rsid w:val="001270F1"/>
    <w:rsid w:val="001332D7"/>
    <w:rsid w:val="0013339E"/>
    <w:rsid w:val="00136EFE"/>
    <w:rsid w:val="00137A41"/>
    <w:rsid w:val="0014635F"/>
    <w:rsid w:val="00146ED7"/>
    <w:rsid w:val="0015730D"/>
    <w:rsid w:val="00163373"/>
    <w:rsid w:val="00165BBA"/>
    <w:rsid w:val="00170A13"/>
    <w:rsid w:val="001862F7"/>
    <w:rsid w:val="0018662A"/>
    <w:rsid w:val="0019703A"/>
    <w:rsid w:val="001D3072"/>
    <w:rsid w:val="001D6C36"/>
    <w:rsid w:val="001E2728"/>
    <w:rsid w:val="001F29A5"/>
    <w:rsid w:val="0020435F"/>
    <w:rsid w:val="00205335"/>
    <w:rsid w:val="00205F9D"/>
    <w:rsid w:val="0022781F"/>
    <w:rsid w:val="00246DF5"/>
    <w:rsid w:val="00263B08"/>
    <w:rsid w:val="0027140A"/>
    <w:rsid w:val="00275AA3"/>
    <w:rsid w:val="00287AAA"/>
    <w:rsid w:val="002A09FD"/>
    <w:rsid w:val="002A4D45"/>
    <w:rsid w:val="002B1E57"/>
    <w:rsid w:val="002B4FFC"/>
    <w:rsid w:val="002B698A"/>
    <w:rsid w:val="002B70C1"/>
    <w:rsid w:val="002C2CD3"/>
    <w:rsid w:val="002C5BFC"/>
    <w:rsid w:val="002C6829"/>
    <w:rsid w:val="002D4E43"/>
    <w:rsid w:val="002D76D4"/>
    <w:rsid w:val="002E6021"/>
    <w:rsid w:val="002F3D80"/>
    <w:rsid w:val="003107A5"/>
    <w:rsid w:val="00316387"/>
    <w:rsid w:val="00324E23"/>
    <w:rsid w:val="00341687"/>
    <w:rsid w:val="003556A1"/>
    <w:rsid w:val="00362C7B"/>
    <w:rsid w:val="00374127"/>
    <w:rsid w:val="003907D5"/>
    <w:rsid w:val="00397F41"/>
    <w:rsid w:val="003A2EE9"/>
    <w:rsid w:val="003B14BF"/>
    <w:rsid w:val="003B3210"/>
    <w:rsid w:val="003D5AB4"/>
    <w:rsid w:val="003D7BF7"/>
    <w:rsid w:val="003F78B0"/>
    <w:rsid w:val="00430DEE"/>
    <w:rsid w:val="00435FF9"/>
    <w:rsid w:val="0048259B"/>
    <w:rsid w:val="004B031A"/>
    <w:rsid w:val="004B322C"/>
    <w:rsid w:val="004D14C3"/>
    <w:rsid w:val="004E342C"/>
    <w:rsid w:val="004E4FF6"/>
    <w:rsid w:val="004E5830"/>
    <w:rsid w:val="00500EDD"/>
    <w:rsid w:val="00511B44"/>
    <w:rsid w:val="00512863"/>
    <w:rsid w:val="005144EE"/>
    <w:rsid w:val="00524485"/>
    <w:rsid w:val="005456AC"/>
    <w:rsid w:val="00551C85"/>
    <w:rsid w:val="00572323"/>
    <w:rsid w:val="00580338"/>
    <w:rsid w:val="005A0D44"/>
    <w:rsid w:val="005B39DA"/>
    <w:rsid w:val="005C569E"/>
    <w:rsid w:val="005D5F21"/>
    <w:rsid w:val="005F1D1B"/>
    <w:rsid w:val="005F4A73"/>
    <w:rsid w:val="00600B70"/>
    <w:rsid w:val="00617711"/>
    <w:rsid w:val="00621FEC"/>
    <w:rsid w:val="0064280F"/>
    <w:rsid w:val="00645F4F"/>
    <w:rsid w:val="00677396"/>
    <w:rsid w:val="00683BF2"/>
    <w:rsid w:val="00690F99"/>
    <w:rsid w:val="0069735D"/>
    <w:rsid w:val="006A4E15"/>
    <w:rsid w:val="006A73FB"/>
    <w:rsid w:val="006D5583"/>
    <w:rsid w:val="006D7740"/>
    <w:rsid w:val="006F72A9"/>
    <w:rsid w:val="006F7B98"/>
    <w:rsid w:val="0070135A"/>
    <w:rsid w:val="00701B30"/>
    <w:rsid w:val="00703F9B"/>
    <w:rsid w:val="007128FD"/>
    <w:rsid w:val="00722226"/>
    <w:rsid w:val="00722DE8"/>
    <w:rsid w:val="0073164E"/>
    <w:rsid w:val="00733785"/>
    <w:rsid w:val="0074509A"/>
    <w:rsid w:val="0074775B"/>
    <w:rsid w:val="00760EDB"/>
    <w:rsid w:val="00782438"/>
    <w:rsid w:val="00782F8F"/>
    <w:rsid w:val="007B15A5"/>
    <w:rsid w:val="007C23E9"/>
    <w:rsid w:val="007C7589"/>
    <w:rsid w:val="007D5A64"/>
    <w:rsid w:val="007E22C7"/>
    <w:rsid w:val="007E353F"/>
    <w:rsid w:val="00805E67"/>
    <w:rsid w:val="00817007"/>
    <w:rsid w:val="00822E7B"/>
    <w:rsid w:val="00823144"/>
    <w:rsid w:val="00827D92"/>
    <w:rsid w:val="00860AB5"/>
    <w:rsid w:val="00861434"/>
    <w:rsid w:val="0086243F"/>
    <w:rsid w:val="00865121"/>
    <w:rsid w:val="00865927"/>
    <w:rsid w:val="0088270D"/>
    <w:rsid w:val="00897E4D"/>
    <w:rsid w:val="008A3319"/>
    <w:rsid w:val="008B7B13"/>
    <w:rsid w:val="008F0E6C"/>
    <w:rsid w:val="008F2263"/>
    <w:rsid w:val="008F5326"/>
    <w:rsid w:val="008F736A"/>
    <w:rsid w:val="009019BD"/>
    <w:rsid w:val="00920D19"/>
    <w:rsid w:val="009367A3"/>
    <w:rsid w:val="00957346"/>
    <w:rsid w:val="009624EB"/>
    <w:rsid w:val="00983786"/>
    <w:rsid w:val="00984353"/>
    <w:rsid w:val="00990681"/>
    <w:rsid w:val="00996B5C"/>
    <w:rsid w:val="009A7E4F"/>
    <w:rsid w:val="009B51EC"/>
    <w:rsid w:val="009B5766"/>
    <w:rsid w:val="009C1B7B"/>
    <w:rsid w:val="009D302B"/>
    <w:rsid w:val="009D6B12"/>
    <w:rsid w:val="009D6B4F"/>
    <w:rsid w:val="00A07CEE"/>
    <w:rsid w:val="00A2113C"/>
    <w:rsid w:val="00A413ED"/>
    <w:rsid w:val="00A53DC6"/>
    <w:rsid w:val="00A57BEA"/>
    <w:rsid w:val="00A73D1C"/>
    <w:rsid w:val="00A75DE9"/>
    <w:rsid w:val="00A87A94"/>
    <w:rsid w:val="00A93012"/>
    <w:rsid w:val="00A9422B"/>
    <w:rsid w:val="00AA48A9"/>
    <w:rsid w:val="00AB17E9"/>
    <w:rsid w:val="00AC0E13"/>
    <w:rsid w:val="00AC2AFF"/>
    <w:rsid w:val="00AE2F1E"/>
    <w:rsid w:val="00AE5213"/>
    <w:rsid w:val="00AF4618"/>
    <w:rsid w:val="00AF510C"/>
    <w:rsid w:val="00B356F1"/>
    <w:rsid w:val="00B359FD"/>
    <w:rsid w:val="00B737BF"/>
    <w:rsid w:val="00B7773D"/>
    <w:rsid w:val="00B83C86"/>
    <w:rsid w:val="00B8579E"/>
    <w:rsid w:val="00B90A2F"/>
    <w:rsid w:val="00B936FA"/>
    <w:rsid w:val="00BC033C"/>
    <w:rsid w:val="00BC4F69"/>
    <w:rsid w:val="00BD2EBE"/>
    <w:rsid w:val="00BF4F5C"/>
    <w:rsid w:val="00BF5540"/>
    <w:rsid w:val="00C019FF"/>
    <w:rsid w:val="00C127FC"/>
    <w:rsid w:val="00C209DD"/>
    <w:rsid w:val="00C44F0B"/>
    <w:rsid w:val="00C51236"/>
    <w:rsid w:val="00C9558F"/>
    <w:rsid w:val="00C960F5"/>
    <w:rsid w:val="00CA06E0"/>
    <w:rsid w:val="00CB3B0A"/>
    <w:rsid w:val="00CC64E0"/>
    <w:rsid w:val="00CD0575"/>
    <w:rsid w:val="00D00C88"/>
    <w:rsid w:val="00D06525"/>
    <w:rsid w:val="00D07C3C"/>
    <w:rsid w:val="00D1636F"/>
    <w:rsid w:val="00D21AB8"/>
    <w:rsid w:val="00D274E4"/>
    <w:rsid w:val="00D34269"/>
    <w:rsid w:val="00D36AF0"/>
    <w:rsid w:val="00D455B7"/>
    <w:rsid w:val="00D517CB"/>
    <w:rsid w:val="00D54688"/>
    <w:rsid w:val="00D57169"/>
    <w:rsid w:val="00D60596"/>
    <w:rsid w:val="00D66F66"/>
    <w:rsid w:val="00D804B3"/>
    <w:rsid w:val="00D812C0"/>
    <w:rsid w:val="00D9211D"/>
    <w:rsid w:val="00D93410"/>
    <w:rsid w:val="00D93B65"/>
    <w:rsid w:val="00DA1105"/>
    <w:rsid w:val="00DA1952"/>
    <w:rsid w:val="00DC636C"/>
    <w:rsid w:val="00DC7029"/>
    <w:rsid w:val="00DE7121"/>
    <w:rsid w:val="00DE74A1"/>
    <w:rsid w:val="00DF12A1"/>
    <w:rsid w:val="00E03AA0"/>
    <w:rsid w:val="00E166AB"/>
    <w:rsid w:val="00E175C7"/>
    <w:rsid w:val="00E2420A"/>
    <w:rsid w:val="00E47741"/>
    <w:rsid w:val="00E5321C"/>
    <w:rsid w:val="00E57EB9"/>
    <w:rsid w:val="00E60A38"/>
    <w:rsid w:val="00E775C1"/>
    <w:rsid w:val="00E86A9F"/>
    <w:rsid w:val="00EA2AA9"/>
    <w:rsid w:val="00EA6C70"/>
    <w:rsid w:val="00EB216D"/>
    <w:rsid w:val="00ED3308"/>
    <w:rsid w:val="00F14979"/>
    <w:rsid w:val="00F3674C"/>
    <w:rsid w:val="00F40277"/>
    <w:rsid w:val="00F82DE8"/>
    <w:rsid w:val="00F9096D"/>
    <w:rsid w:val="00F9514A"/>
    <w:rsid w:val="00FB0396"/>
    <w:rsid w:val="00FC151F"/>
    <w:rsid w:val="00FD548A"/>
    <w:rsid w:val="00FE3F62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70C9"/>
  <w15:chartTrackingRefBased/>
  <w15:docId w15:val="{83159E35-CFC2-4F80-AE43-2F7ECC9B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9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9514A"/>
  </w:style>
  <w:style w:type="character" w:styleId="a3">
    <w:name w:val="Hyperlink"/>
    <w:basedOn w:val="a0"/>
    <w:uiPriority w:val="99"/>
    <w:semiHidden/>
    <w:unhideWhenUsed/>
    <w:rsid w:val="00F9514A"/>
    <w:rPr>
      <w:color w:val="0000FF"/>
      <w:u w:val="single"/>
    </w:rPr>
  </w:style>
  <w:style w:type="character" w:customStyle="1" w:styleId="rvts46">
    <w:name w:val="rvts46"/>
    <w:basedOn w:val="a0"/>
    <w:rsid w:val="00F9514A"/>
  </w:style>
  <w:style w:type="character" w:customStyle="1" w:styleId="rvts11">
    <w:name w:val="rvts11"/>
    <w:basedOn w:val="a0"/>
    <w:rsid w:val="00F9514A"/>
  </w:style>
  <w:style w:type="paragraph" w:customStyle="1" w:styleId="rvps4">
    <w:name w:val="rvps4"/>
    <w:basedOn w:val="a"/>
    <w:rsid w:val="00F9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9514A"/>
  </w:style>
  <w:style w:type="paragraph" w:customStyle="1" w:styleId="rvps15">
    <w:name w:val="rvps15"/>
    <w:basedOn w:val="a"/>
    <w:rsid w:val="00F9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C0E13"/>
    <w:pPr>
      <w:ind w:left="720"/>
      <w:contextualSpacing/>
    </w:pPr>
  </w:style>
  <w:style w:type="table" w:styleId="a5">
    <w:name w:val="Table Grid"/>
    <w:basedOn w:val="a1"/>
    <w:uiPriority w:val="39"/>
    <w:rsid w:val="00DA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9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Пользователь</cp:lastModifiedBy>
  <cp:revision>2</cp:revision>
  <dcterms:created xsi:type="dcterms:W3CDTF">2017-02-13T09:53:00Z</dcterms:created>
  <dcterms:modified xsi:type="dcterms:W3CDTF">2017-02-13T09:53:00Z</dcterms:modified>
</cp:coreProperties>
</file>